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551F" w14:textId="4D9A5241" w:rsidR="000F65C3" w:rsidRDefault="000F65C3" w:rsidP="000F65C3">
      <w:pPr>
        <w:bidi/>
        <w:spacing w:after="0"/>
        <w:jc w:val="center"/>
        <w:rPr>
          <w:rFonts w:cs="B Titr"/>
          <w:b/>
          <w:bCs/>
          <w:color w:val="000000" w:themeColor="text1"/>
          <w:sz w:val="32"/>
          <w:szCs w:val="32"/>
          <w:lang w:bidi="fa-IR"/>
        </w:rPr>
      </w:pPr>
      <w:r w:rsidRPr="000F65C3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 xml:space="preserve">پرسشنامه شایستگی اجتماعی دانش آموزان کوهن </w:t>
      </w:r>
    </w:p>
    <w:p w14:paraId="34525DDB" w14:textId="77777777" w:rsidR="000F65C3" w:rsidRPr="000F65C3" w:rsidRDefault="000F65C3" w:rsidP="000F65C3">
      <w:pPr>
        <w:bidi/>
        <w:spacing w:after="0"/>
        <w:jc w:val="center"/>
        <w:rPr>
          <w:rFonts w:cs="B Titr"/>
          <w:b/>
          <w:bCs/>
          <w:color w:val="000000" w:themeColor="text1"/>
          <w:rtl/>
          <w:lang w:bidi="fa-IR"/>
        </w:rPr>
      </w:pPr>
    </w:p>
    <w:p w14:paraId="60834D24" w14:textId="083244F6" w:rsidR="000F65C3" w:rsidRDefault="000F65C3" w:rsidP="000F65C3">
      <w:pPr>
        <w:pStyle w:val="Header"/>
        <w:bidi/>
        <w:rPr>
          <w:rFonts w:cs="B Nazanin"/>
          <w:color w:val="000000" w:themeColor="text1"/>
          <w:sz w:val="28"/>
          <w:szCs w:val="28"/>
          <w:lang w:bidi="fa-IR"/>
        </w:rPr>
      </w:pPr>
      <w:r w:rsidRPr="000F65C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هدف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: ارزیابی شایستگی اجتماعی از ابعاد مختلف </w:t>
      </w:r>
    </w:p>
    <w:p w14:paraId="0B8C3CFB" w14:textId="77777777" w:rsidR="000F65C3" w:rsidRPr="000F65C3" w:rsidRDefault="000F65C3" w:rsidP="000F65C3">
      <w:pPr>
        <w:pStyle w:val="Header"/>
        <w:bidi/>
        <w:rPr>
          <w:rFonts w:cs="B Nazanin"/>
          <w:color w:val="000000" w:themeColor="text1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10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7017"/>
        <w:gridCol w:w="594"/>
        <w:gridCol w:w="594"/>
        <w:gridCol w:w="594"/>
        <w:gridCol w:w="594"/>
        <w:gridCol w:w="594"/>
      </w:tblGrid>
      <w:tr w:rsidR="000F65C3" w:rsidRPr="000F65C3" w14:paraId="3D3AB30B" w14:textId="77777777" w:rsidTr="004C00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FD47D8C" w14:textId="77777777" w:rsidR="000F65C3" w:rsidRPr="000F65C3" w:rsidRDefault="000F65C3" w:rsidP="000F65C3">
            <w:pPr>
              <w:spacing w:after="0" w:line="240" w:lineRule="auto"/>
              <w:ind w:left="113" w:right="113"/>
              <w:jc w:val="center"/>
              <w:rPr>
                <w:rFonts w:cs="B Nazanin"/>
                <w:color w:val="000000" w:themeColor="text1"/>
                <w:sz w:val="28"/>
                <w:szCs w:val="28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70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5E118FB" w14:textId="2E4E2D72" w:rsidR="000F65C3" w:rsidRPr="000F65C3" w:rsidRDefault="000F65C3" w:rsidP="000F65C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32"/>
                <w:szCs w:val="32"/>
                <w:rtl/>
              </w:rPr>
              <w:t>سوالات</w:t>
            </w:r>
          </w:p>
        </w:tc>
        <w:tc>
          <w:tcPr>
            <w:tcW w:w="5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7884D13" w14:textId="77777777" w:rsidR="000F65C3" w:rsidRPr="000F65C3" w:rsidRDefault="000F65C3" w:rsidP="000F65C3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همیشه</w:t>
            </w:r>
          </w:p>
        </w:tc>
        <w:tc>
          <w:tcPr>
            <w:tcW w:w="5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30176FF" w14:textId="77777777" w:rsidR="000F65C3" w:rsidRPr="000F65C3" w:rsidRDefault="000F65C3" w:rsidP="000F65C3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بیشتر اوقات</w:t>
            </w:r>
          </w:p>
        </w:tc>
        <w:tc>
          <w:tcPr>
            <w:tcW w:w="5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A3EC4BE" w14:textId="77777777" w:rsidR="000F65C3" w:rsidRPr="000F65C3" w:rsidRDefault="000F65C3" w:rsidP="000F65C3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گاهی اوقات</w:t>
            </w:r>
          </w:p>
        </w:tc>
        <w:tc>
          <w:tcPr>
            <w:tcW w:w="5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50E7808" w14:textId="77777777" w:rsidR="000F65C3" w:rsidRPr="000F65C3" w:rsidRDefault="000F65C3" w:rsidP="000F65C3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به‌ندرت</w:t>
            </w:r>
          </w:p>
        </w:tc>
        <w:tc>
          <w:tcPr>
            <w:tcW w:w="5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71F7790" w14:textId="77777777" w:rsidR="000F65C3" w:rsidRPr="000F65C3" w:rsidRDefault="000F65C3" w:rsidP="000F65C3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هرگز</w:t>
            </w:r>
          </w:p>
        </w:tc>
      </w:tr>
      <w:tr w:rsidR="000F65C3" w:rsidRPr="000F65C3" w14:paraId="09900391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FF37DC6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7017" w:type="dxa"/>
          </w:tcPr>
          <w:p w14:paraId="0B2CC111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کودک برای تجربه‌ی چیزهای جدید مشتاق است</w:t>
            </w:r>
          </w:p>
        </w:tc>
        <w:tc>
          <w:tcPr>
            <w:tcW w:w="594" w:type="dxa"/>
          </w:tcPr>
          <w:p w14:paraId="4EF75C20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2962540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51FB1C2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BF35172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0885776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0236333B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4E57FE8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7017" w:type="dxa"/>
          </w:tcPr>
          <w:p w14:paraId="2368CF65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به‌آسانی از یک فعالیت بی‌میل می‌شود و به فعالیت دیگر می‌پردازد</w:t>
            </w:r>
          </w:p>
        </w:tc>
        <w:tc>
          <w:tcPr>
            <w:tcW w:w="594" w:type="dxa"/>
          </w:tcPr>
          <w:p w14:paraId="06E92B57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A304D52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A131CC7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A43DDE6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8A4B811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46E3D592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45803BF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7017" w:type="dxa"/>
          </w:tcPr>
          <w:p w14:paraId="6F94A1C2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پیشنهادات کلامی و غیرکلامی معلم را می‌پذیرد</w:t>
            </w:r>
          </w:p>
        </w:tc>
        <w:tc>
          <w:tcPr>
            <w:tcW w:w="594" w:type="dxa"/>
          </w:tcPr>
          <w:p w14:paraId="340E8B7C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D09DF34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EC4887B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4B4D88A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8E3D15E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3F1CC372" w14:textId="77777777" w:rsidTr="004C00DF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D851463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7017" w:type="dxa"/>
          </w:tcPr>
          <w:p w14:paraId="656BE557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در حضور دیگر دانش‌آموزان گوشه‌گیری می‌کند</w:t>
            </w:r>
          </w:p>
        </w:tc>
        <w:tc>
          <w:tcPr>
            <w:tcW w:w="594" w:type="dxa"/>
          </w:tcPr>
          <w:p w14:paraId="774A3077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4323AB7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603777D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E0BDDBD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84661A4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1752B71E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4D82B16C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7017" w:type="dxa"/>
          </w:tcPr>
          <w:p w14:paraId="29DD613D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به کار یا بازی اشتیاق نشان می‌دهد</w:t>
            </w:r>
          </w:p>
        </w:tc>
        <w:tc>
          <w:tcPr>
            <w:tcW w:w="594" w:type="dxa"/>
          </w:tcPr>
          <w:p w14:paraId="2CE8354E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351CA80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3D2702F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B269331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1E989A8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7A237DAB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5B47BF81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7017" w:type="dxa"/>
          </w:tcPr>
          <w:p w14:paraId="6A8AAE3F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در مقابل پیشنهادات معلم اخم می‌کند، پا به زمین می‌کوبد</w:t>
            </w:r>
          </w:p>
        </w:tc>
        <w:tc>
          <w:tcPr>
            <w:tcW w:w="594" w:type="dxa"/>
          </w:tcPr>
          <w:p w14:paraId="654BA6CA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24A6F8C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CA6115F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9F5363D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F2E9C00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66E1911B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3E9908E0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7017" w:type="dxa"/>
          </w:tcPr>
          <w:p w14:paraId="0FF647AE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دانش‌آموزان دیگر از نظرات این دانش‌آموز برای بازی پیروی می‌کنند</w:t>
            </w:r>
          </w:p>
        </w:tc>
        <w:tc>
          <w:tcPr>
            <w:tcW w:w="594" w:type="dxa"/>
          </w:tcPr>
          <w:p w14:paraId="76288A91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C58CAE6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56C9486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18AB0A5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0A78D38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3DFC86CA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688AB12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7017" w:type="dxa"/>
          </w:tcPr>
          <w:p w14:paraId="7417D1D0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از اجرای پیشنهادات معلم حتی برای رفع مشکل ناراضی است</w:t>
            </w:r>
          </w:p>
        </w:tc>
        <w:tc>
          <w:tcPr>
            <w:tcW w:w="594" w:type="dxa"/>
          </w:tcPr>
          <w:p w14:paraId="50D91791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369EB05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169F463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8D13E13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E473D03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2F568EFC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1BCBC009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7017" w:type="dxa"/>
          </w:tcPr>
          <w:p w14:paraId="7292EC23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در کنار دیگر دانش‌آموزان احساس آرامش می‌کند به‌طوری‌که قادر به بیان آرزوها و نظراتش می‌باشد</w:t>
            </w:r>
          </w:p>
        </w:tc>
        <w:tc>
          <w:tcPr>
            <w:tcW w:w="594" w:type="dxa"/>
          </w:tcPr>
          <w:p w14:paraId="0979F6E0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700A21A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E579829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1753921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91D97D4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62B6524A" w14:textId="77777777" w:rsidTr="004C00DF">
        <w:trPr>
          <w:trHeight w:val="6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6B833C3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ascii="Tahoma" w:hAnsi="Tahoma" w:cs="B Nazanin"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 w:rsidRPr="000F65C3">
              <w:rPr>
                <w:rFonts w:ascii="Tahoma" w:hAnsi="Tahoma" w:cs="B Nazanin" w:hint="cs"/>
                <w:color w:val="000000" w:themeColor="text1"/>
                <w:sz w:val="28"/>
                <w:szCs w:val="28"/>
                <w:shd w:val="clear" w:color="auto" w:fill="FFFFFF"/>
                <w:rtl/>
              </w:rPr>
              <w:t>10</w:t>
            </w:r>
          </w:p>
        </w:tc>
        <w:tc>
          <w:tcPr>
            <w:tcW w:w="7017" w:type="dxa"/>
          </w:tcPr>
          <w:p w14:paraId="03A68DFE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از نظر دیگر دانش‌آموزان فردی ترسناک است</w:t>
            </w:r>
          </w:p>
        </w:tc>
        <w:tc>
          <w:tcPr>
            <w:tcW w:w="594" w:type="dxa"/>
          </w:tcPr>
          <w:p w14:paraId="27A20E0F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F02258D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0674C5E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5E98A30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B673DB0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6670500D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77FDA6C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7017" w:type="dxa"/>
          </w:tcPr>
          <w:p w14:paraId="4EEB062C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می‌تواند پیشنهادات  معلم را برای بازی یا ادامه‌ی آن بپذیرد</w:t>
            </w:r>
          </w:p>
        </w:tc>
        <w:tc>
          <w:tcPr>
            <w:tcW w:w="594" w:type="dxa"/>
          </w:tcPr>
          <w:p w14:paraId="2958B4E1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B1FEEFC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3200BD2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F723BB3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C6915A5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1F3847D5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DBBFF53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7017" w:type="dxa"/>
          </w:tcPr>
          <w:p w14:paraId="303F15FA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از همکاری با دیگر دانش‌آموزان راضی است</w:t>
            </w:r>
          </w:p>
        </w:tc>
        <w:tc>
          <w:tcPr>
            <w:tcW w:w="594" w:type="dxa"/>
          </w:tcPr>
          <w:p w14:paraId="7F3AF75A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430283E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6847F69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4188B0D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C9B5C7E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7176D026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4D288C2C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7017" w:type="dxa"/>
          </w:tcPr>
          <w:p w14:paraId="27964D00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در ظاهر خود را  با پیشنهادات معلم تطبیق می‌دهد، اما آن‌ها را در فغالیت‌هایش به‌کار نمی‌بندد</w:t>
            </w:r>
          </w:p>
        </w:tc>
        <w:tc>
          <w:tcPr>
            <w:tcW w:w="594" w:type="dxa"/>
          </w:tcPr>
          <w:p w14:paraId="4C14CABF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4B2E1BE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D8B267D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E507BE7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0AE1560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5C4A262B" w14:textId="77777777" w:rsidTr="004C00DF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61C3E8F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7017" w:type="dxa"/>
          </w:tcPr>
          <w:p w14:paraId="3498DE6C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بر دیگر دانش‌آموزان مسلط است</w:t>
            </w:r>
          </w:p>
        </w:tc>
        <w:tc>
          <w:tcPr>
            <w:tcW w:w="594" w:type="dxa"/>
          </w:tcPr>
          <w:p w14:paraId="6799B36B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E84F614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DE10774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CE7AABB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E8DAD9D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50FE1578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3A71A10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7017" w:type="dxa"/>
          </w:tcPr>
          <w:p w14:paraId="5C9F9481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نظرات دانش‌آموز بر تعداد زیادی از دانش‌آموزان تأثیر‌گذار است</w:t>
            </w:r>
          </w:p>
        </w:tc>
        <w:tc>
          <w:tcPr>
            <w:tcW w:w="594" w:type="dxa"/>
          </w:tcPr>
          <w:p w14:paraId="7110F7A5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2F96C87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5C54CFD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D274680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6C86602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3114A598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3E8A8605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7017" w:type="dxa"/>
          </w:tcPr>
          <w:p w14:paraId="63443718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در دفاع از عقایدش در مقابل دیگر دانش‌آموزان مشکل دارد</w:t>
            </w:r>
          </w:p>
        </w:tc>
        <w:tc>
          <w:tcPr>
            <w:tcW w:w="594" w:type="dxa"/>
          </w:tcPr>
          <w:p w14:paraId="4B028649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AE66DF2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514A512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40D7A4E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419E936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59D8464B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0217E0E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7017" w:type="dxa"/>
          </w:tcPr>
          <w:p w14:paraId="1FED9DA7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با قوانین و مقررات همراهی می‌کند</w:t>
            </w:r>
          </w:p>
        </w:tc>
        <w:tc>
          <w:tcPr>
            <w:tcW w:w="594" w:type="dxa"/>
          </w:tcPr>
          <w:p w14:paraId="79C5DCD8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6B63624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747DDAC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B0FB3BF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46FA34B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5ADF1549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590D811D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7017" w:type="dxa"/>
          </w:tcPr>
          <w:p w14:paraId="761F1584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در بازی با دیگر دانش‌آموزان، از قوانین پیروی می‌کند</w:t>
            </w:r>
          </w:p>
        </w:tc>
        <w:tc>
          <w:tcPr>
            <w:tcW w:w="594" w:type="dxa"/>
          </w:tcPr>
          <w:p w14:paraId="21895CF2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DBF6A49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35D391B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A647855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B691F36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39650E1C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3B4073FA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>19</w:t>
            </w:r>
          </w:p>
        </w:tc>
        <w:tc>
          <w:tcPr>
            <w:tcW w:w="7017" w:type="dxa"/>
          </w:tcPr>
          <w:p w14:paraId="32AE0B39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نسبت به نظرات و پیشنهادات معلم درباره‌ی فعالیت‌های بازی واکنش منفی نشان می‌دهد</w:t>
            </w:r>
          </w:p>
        </w:tc>
        <w:tc>
          <w:tcPr>
            <w:tcW w:w="594" w:type="dxa"/>
          </w:tcPr>
          <w:p w14:paraId="59F15589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A6B3BB8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EDEB83E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14EF76A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D7695FE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3EF6647C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4DB2408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7017" w:type="dxa"/>
          </w:tcPr>
          <w:p w14:paraId="16023B46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قادر به انجام کارهای خود بدون راهنمایی و کمک دیگران نیست</w:t>
            </w:r>
          </w:p>
        </w:tc>
        <w:tc>
          <w:tcPr>
            <w:tcW w:w="594" w:type="dxa"/>
          </w:tcPr>
          <w:p w14:paraId="6EA8A359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68F9301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D076900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0540476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23BE614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0271AAB8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D79BB65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21</w:t>
            </w:r>
          </w:p>
        </w:tc>
        <w:tc>
          <w:tcPr>
            <w:tcW w:w="7017" w:type="dxa"/>
          </w:tcPr>
          <w:p w14:paraId="1216DD13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فعالیت‌های خود را  با قوانین و مقررات معلم منطبق می‌‌کند</w:t>
            </w:r>
          </w:p>
        </w:tc>
        <w:tc>
          <w:tcPr>
            <w:tcW w:w="594" w:type="dxa"/>
          </w:tcPr>
          <w:p w14:paraId="122BCB0B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5190DC2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D319E20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38BF284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AE370F7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047568E2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5DAF1967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22</w:t>
            </w:r>
          </w:p>
        </w:tc>
        <w:tc>
          <w:tcPr>
            <w:tcW w:w="7017" w:type="dxa"/>
          </w:tcPr>
          <w:p w14:paraId="216E65FB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می‌تواند برای خود و دیگر دانش‌آموزان نظراتی داشته باشد</w:t>
            </w:r>
          </w:p>
        </w:tc>
        <w:tc>
          <w:tcPr>
            <w:tcW w:w="594" w:type="dxa"/>
          </w:tcPr>
          <w:p w14:paraId="234B0555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0185BBC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183E436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BD6A5D7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4A4E1C0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56FB9E3B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7454952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23</w:t>
            </w:r>
          </w:p>
        </w:tc>
        <w:tc>
          <w:tcPr>
            <w:tcW w:w="7017" w:type="dxa"/>
          </w:tcPr>
          <w:p w14:paraId="281A9081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می‌تواند در مقابل اولیای امور، نظر مخالف خود را بیان ‌کند</w:t>
            </w:r>
          </w:p>
        </w:tc>
        <w:tc>
          <w:tcPr>
            <w:tcW w:w="594" w:type="dxa"/>
          </w:tcPr>
          <w:p w14:paraId="1E2663CE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1CF9F7E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5266D74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E41DC53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FAE262E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118DA650" w14:textId="77777777" w:rsidTr="004C00DF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DF23074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7017" w:type="dxa"/>
          </w:tcPr>
          <w:p w14:paraId="1F397EA6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در انواع بازی‌های بدون ساختار شرکت می‌کند</w:t>
            </w:r>
          </w:p>
        </w:tc>
        <w:tc>
          <w:tcPr>
            <w:tcW w:w="594" w:type="dxa"/>
          </w:tcPr>
          <w:p w14:paraId="7BBC7C18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8F1A41A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93124D4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D5EB960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5FA61FB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609E0D7A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2321386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25</w:t>
            </w:r>
          </w:p>
        </w:tc>
        <w:tc>
          <w:tcPr>
            <w:tcW w:w="7017" w:type="dxa"/>
          </w:tcPr>
          <w:p w14:paraId="5623A198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با دیگر دانش‌آموزان رفتار خصمانه (هل دادن، سرزنش کردن، قلدری و ...) دارد</w:t>
            </w:r>
          </w:p>
        </w:tc>
        <w:tc>
          <w:tcPr>
            <w:tcW w:w="594" w:type="dxa"/>
          </w:tcPr>
          <w:p w14:paraId="2FFB1A9D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F38D413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22CAAFA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6A81D01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A6D5D38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365237DF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A77DCE2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26</w:t>
            </w:r>
          </w:p>
        </w:tc>
        <w:tc>
          <w:tcPr>
            <w:tcW w:w="7017" w:type="dxa"/>
          </w:tcPr>
          <w:p w14:paraId="5361A297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می‌تواند در فعالیت‌های مشارکتی نقش رهبری داشته باشد</w:t>
            </w:r>
          </w:p>
        </w:tc>
        <w:tc>
          <w:tcPr>
            <w:tcW w:w="594" w:type="dxa"/>
          </w:tcPr>
          <w:p w14:paraId="63A7688C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862C011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F6F13A8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351F8D0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AC302E0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329517AD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B364074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27</w:t>
            </w:r>
          </w:p>
        </w:tc>
        <w:tc>
          <w:tcPr>
            <w:tcW w:w="7017" w:type="dxa"/>
          </w:tcPr>
          <w:p w14:paraId="3B535ED5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بدون علاقه مشارکت می‌کند</w:t>
            </w:r>
          </w:p>
        </w:tc>
        <w:tc>
          <w:tcPr>
            <w:tcW w:w="594" w:type="dxa"/>
          </w:tcPr>
          <w:p w14:paraId="0869F02B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32F4C7A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895E0A1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8D74114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4E865C6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0AFCE839" w14:textId="77777777" w:rsidTr="004C00DF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1CBA0AE9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28</w:t>
            </w:r>
          </w:p>
        </w:tc>
        <w:tc>
          <w:tcPr>
            <w:tcW w:w="7017" w:type="dxa"/>
          </w:tcPr>
          <w:p w14:paraId="284155ED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وسایل دیگر دانش‌آموزان را بدون اجازه‌ی آن‌ها برمی‌دارد</w:t>
            </w:r>
          </w:p>
        </w:tc>
        <w:tc>
          <w:tcPr>
            <w:tcW w:w="594" w:type="dxa"/>
          </w:tcPr>
          <w:p w14:paraId="6D8A314C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9922665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6D7DF36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29AF162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D2B237A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457B5C93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3659193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29</w:t>
            </w:r>
          </w:p>
        </w:tc>
        <w:tc>
          <w:tcPr>
            <w:tcW w:w="7017" w:type="dxa"/>
          </w:tcPr>
          <w:p w14:paraId="0A8E7718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به فعالیت‌ علاقه‌ی کمی نشان می‌دهد</w:t>
            </w:r>
          </w:p>
        </w:tc>
        <w:tc>
          <w:tcPr>
            <w:tcW w:w="594" w:type="dxa"/>
          </w:tcPr>
          <w:p w14:paraId="167B7A29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A0A3157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413A429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08D6C4B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C806A50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2CFDFBB0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89B4141" w14:textId="77777777" w:rsidR="000F65C3" w:rsidRPr="000F65C3" w:rsidRDefault="000F65C3" w:rsidP="00662C8F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7017" w:type="dxa"/>
          </w:tcPr>
          <w:p w14:paraId="672329E3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نظرات و پیشنهادات سایر دانش‌آموزان را می‌پذیرد</w:t>
            </w:r>
          </w:p>
        </w:tc>
        <w:tc>
          <w:tcPr>
            <w:tcW w:w="594" w:type="dxa"/>
          </w:tcPr>
          <w:p w14:paraId="4B0ACA0C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7F60D5E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56BB547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0162E74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E00BA75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164844E3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6AD66AE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31</w:t>
            </w:r>
          </w:p>
        </w:tc>
        <w:tc>
          <w:tcPr>
            <w:tcW w:w="7017" w:type="dxa"/>
          </w:tcPr>
          <w:p w14:paraId="6548EF95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بهانه‌گیر است</w:t>
            </w:r>
          </w:p>
        </w:tc>
        <w:tc>
          <w:tcPr>
            <w:tcW w:w="594" w:type="dxa"/>
          </w:tcPr>
          <w:p w14:paraId="3A1C272F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517F9CF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3D75BD4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7EAC7DB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501EF5A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6E6B7968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6D876F3C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32</w:t>
            </w:r>
          </w:p>
        </w:tc>
        <w:tc>
          <w:tcPr>
            <w:tcW w:w="7017" w:type="dxa"/>
          </w:tcPr>
          <w:p w14:paraId="7FC34887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نیازهایش را با معلم در میان می‌گذارد</w:t>
            </w:r>
          </w:p>
        </w:tc>
        <w:tc>
          <w:tcPr>
            <w:tcW w:w="594" w:type="dxa"/>
          </w:tcPr>
          <w:p w14:paraId="01C26D71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AED280C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7261D58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C40804D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186E0D1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1428054F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C1D6F90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33</w:t>
            </w:r>
          </w:p>
        </w:tc>
        <w:tc>
          <w:tcPr>
            <w:tcW w:w="7017" w:type="dxa"/>
          </w:tcPr>
          <w:p w14:paraId="004DA6A2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بر دانش‌آموزان دیگر رهبر و مسلط است</w:t>
            </w:r>
          </w:p>
        </w:tc>
        <w:tc>
          <w:tcPr>
            <w:tcW w:w="594" w:type="dxa"/>
          </w:tcPr>
          <w:p w14:paraId="3DFE349F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C359233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E369FF9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0A3C715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619503E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178045A9" w14:textId="77777777" w:rsidTr="004C00DF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5E6076AC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34</w:t>
            </w:r>
          </w:p>
        </w:tc>
        <w:tc>
          <w:tcPr>
            <w:tcW w:w="7017" w:type="dxa"/>
          </w:tcPr>
          <w:p w14:paraId="35B58F8F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مانع اجرای امور عادی دیگر دانش‌آموزان می</w:t>
            </w: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cs/>
                <w:lang w:bidi="fa-IR"/>
              </w:rPr>
              <w:t>‎‌شود</w:t>
            </w:r>
          </w:p>
        </w:tc>
        <w:tc>
          <w:tcPr>
            <w:tcW w:w="594" w:type="dxa"/>
          </w:tcPr>
          <w:p w14:paraId="11512A15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1C825E4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66299DC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FB5547B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A76B811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2A6CB452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EFD23EF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35</w:t>
            </w:r>
          </w:p>
        </w:tc>
        <w:tc>
          <w:tcPr>
            <w:tcW w:w="7017" w:type="dxa"/>
          </w:tcPr>
          <w:p w14:paraId="405862DD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در هنگام انجام فعالت، توجه دیگران را جلب می‌کند</w:t>
            </w:r>
          </w:p>
        </w:tc>
        <w:tc>
          <w:tcPr>
            <w:tcW w:w="594" w:type="dxa"/>
          </w:tcPr>
          <w:p w14:paraId="19D5865D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F905B9A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016F72A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C14E665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8D765E3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7C9C249A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74E751F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36</w:t>
            </w:r>
          </w:p>
        </w:tc>
        <w:tc>
          <w:tcPr>
            <w:tcW w:w="7017" w:type="dxa"/>
          </w:tcPr>
          <w:p w14:paraId="07EFFD1B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به چیزهای کمی علاقه دارد</w:t>
            </w:r>
          </w:p>
        </w:tc>
        <w:tc>
          <w:tcPr>
            <w:tcW w:w="594" w:type="dxa"/>
          </w:tcPr>
          <w:p w14:paraId="1CCDBC4B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BBD47AA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77303FF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26D332B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250B0D1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219B86D6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D35309E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37</w:t>
            </w:r>
          </w:p>
        </w:tc>
        <w:tc>
          <w:tcPr>
            <w:tcW w:w="7017" w:type="dxa"/>
          </w:tcPr>
          <w:p w14:paraId="4C96DCDD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هنگام مطرح کردن موضوعی، دقت زیادی می‌کند</w:t>
            </w:r>
          </w:p>
        </w:tc>
        <w:tc>
          <w:tcPr>
            <w:tcW w:w="594" w:type="dxa"/>
          </w:tcPr>
          <w:p w14:paraId="52A3DE5B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3961B41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0A0706B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605909E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E89A56A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0BA17D51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6690837A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38</w:t>
            </w:r>
          </w:p>
        </w:tc>
        <w:tc>
          <w:tcPr>
            <w:tcW w:w="7017" w:type="dxa"/>
          </w:tcPr>
          <w:p w14:paraId="5110C0F3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هنگام بازی، فقط با شرایطی که خودش وضع می‌کند راضی است</w:t>
            </w:r>
          </w:p>
        </w:tc>
        <w:tc>
          <w:tcPr>
            <w:tcW w:w="594" w:type="dxa"/>
          </w:tcPr>
          <w:p w14:paraId="0AC71E1F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3DB37B2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BF4767D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C72768C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E3AAA3B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45CD9C5B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4D5144C5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39</w:t>
            </w:r>
          </w:p>
        </w:tc>
        <w:tc>
          <w:tcPr>
            <w:tcW w:w="7017" w:type="dxa"/>
          </w:tcPr>
          <w:p w14:paraId="41C82A2F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وقتی فعالیت به‌وسیله‌ی معلم طراحی می‌شود دانش‌آموز به‌خوبی پاسخ می‌دهد</w:t>
            </w:r>
          </w:p>
        </w:tc>
        <w:tc>
          <w:tcPr>
            <w:tcW w:w="594" w:type="dxa"/>
          </w:tcPr>
          <w:p w14:paraId="37072724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875504B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7961A46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47ABEC8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3F5BFD8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7C55ED41" w14:textId="77777777" w:rsidTr="004C00DF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BF4358F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40</w:t>
            </w:r>
          </w:p>
        </w:tc>
        <w:tc>
          <w:tcPr>
            <w:tcW w:w="7017" w:type="dxa"/>
          </w:tcPr>
          <w:p w14:paraId="62B79B5E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فعالیت‌های دانش‌آموز مزاحم دیگر دانش‌آموزان است</w:t>
            </w:r>
          </w:p>
        </w:tc>
        <w:tc>
          <w:tcPr>
            <w:tcW w:w="594" w:type="dxa"/>
          </w:tcPr>
          <w:p w14:paraId="38D05F0F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CDB8A3B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D52D3B8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D913553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6B7982D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6B4EC91D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77BE102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41</w:t>
            </w:r>
          </w:p>
        </w:tc>
        <w:tc>
          <w:tcPr>
            <w:tcW w:w="7017" w:type="dxa"/>
          </w:tcPr>
          <w:p w14:paraId="3673D016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به‌تنهایی در برابر دیگر دانش‌آموزان مخالفت می‌کند</w:t>
            </w:r>
          </w:p>
        </w:tc>
        <w:tc>
          <w:tcPr>
            <w:tcW w:w="594" w:type="dxa"/>
          </w:tcPr>
          <w:p w14:paraId="1402A4FA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47FBB26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33B80B6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CC5B323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7762AA4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629553CE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4886612F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42</w:t>
            </w:r>
          </w:p>
        </w:tc>
        <w:tc>
          <w:tcPr>
            <w:tcW w:w="7017" w:type="dxa"/>
          </w:tcPr>
          <w:p w14:paraId="664B2775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در ارائه‌ی نظرات و انجام فعالیت‌هایش، مستقل است</w:t>
            </w:r>
          </w:p>
        </w:tc>
        <w:tc>
          <w:tcPr>
            <w:tcW w:w="594" w:type="dxa"/>
          </w:tcPr>
          <w:p w14:paraId="6C35961B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ECC8B82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810E43F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B1145E9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0B3F39C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69872F22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15BCDF27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43</w:t>
            </w:r>
          </w:p>
        </w:tc>
        <w:tc>
          <w:tcPr>
            <w:tcW w:w="7017" w:type="dxa"/>
          </w:tcPr>
          <w:p w14:paraId="09C9A26E" w14:textId="77777777" w:rsidR="000F65C3" w:rsidRPr="000F65C3" w:rsidRDefault="000F65C3" w:rsidP="00662C8F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دانش‌آموز در اجرای قوانین بازی مضطرب می‌شود و زمانی‌که قوانین بازی را نمی‌داند، بی‌اعتنا می‌شود</w:t>
            </w:r>
          </w:p>
        </w:tc>
        <w:tc>
          <w:tcPr>
            <w:tcW w:w="594" w:type="dxa"/>
          </w:tcPr>
          <w:p w14:paraId="1768FF79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21D9090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33FA25B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B443FD2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4512F0E" w14:textId="77777777" w:rsidR="000F65C3" w:rsidRPr="000F65C3" w:rsidRDefault="000F65C3" w:rsidP="00662C8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65C3" w:rsidRPr="000F65C3" w14:paraId="10E229FE" w14:textId="77777777" w:rsidTr="004C00DF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2281FB8" w14:textId="77777777" w:rsidR="000F65C3" w:rsidRPr="000F65C3" w:rsidRDefault="000F65C3" w:rsidP="00662C8F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44</w:t>
            </w:r>
          </w:p>
        </w:tc>
        <w:tc>
          <w:tcPr>
            <w:tcW w:w="7017" w:type="dxa"/>
          </w:tcPr>
          <w:p w14:paraId="58558CB1" w14:textId="77777777" w:rsidR="000F65C3" w:rsidRPr="000F65C3" w:rsidRDefault="000F65C3" w:rsidP="00662C8F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0F65C3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کودک برای تجربه‌ی چیزهای جدید مشتاق است</w:t>
            </w:r>
          </w:p>
        </w:tc>
        <w:tc>
          <w:tcPr>
            <w:tcW w:w="594" w:type="dxa"/>
          </w:tcPr>
          <w:p w14:paraId="65033AA4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7ED9C57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1938BA1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46040AF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B9E3EF5" w14:textId="77777777" w:rsidR="000F65C3" w:rsidRPr="000F65C3" w:rsidRDefault="000F65C3" w:rsidP="00662C8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0C162637" w14:textId="0F0B11EB" w:rsidR="000750A4" w:rsidRPr="000F65C3" w:rsidRDefault="000750A4">
      <w:pPr>
        <w:rPr>
          <w:rFonts w:cs="B Nazanin"/>
          <w:sz w:val="28"/>
          <w:szCs w:val="28"/>
        </w:rPr>
      </w:pPr>
    </w:p>
    <w:p w14:paraId="322FCD55" w14:textId="631092C8" w:rsidR="000F65C3" w:rsidRDefault="000F65C3" w:rsidP="000F65C3">
      <w:pPr>
        <w:bidi/>
        <w:spacing w:after="0" w:line="240" w:lineRule="auto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0F65C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lastRenderedPageBreak/>
        <w:t>شیوه نمره گذاری</w:t>
      </w:r>
    </w:p>
    <w:p w14:paraId="0DDBFC58" w14:textId="77777777" w:rsidR="004C00DF" w:rsidRPr="000F65C3" w:rsidRDefault="004C00DF" w:rsidP="004C00DF">
      <w:pPr>
        <w:bidi/>
        <w:spacing w:after="0" w:line="240" w:lineRule="auto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6EE50261" w14:textId="77777777" w:rsidR="000F65C3" w:rsidRPr="000F65C3" w:rsidRDefault="000F65C3" w:rsidP="004C00DF">
      <w:pPr>
        <w:bidi/>
        <w:spacing w:after="0" w:line="360" w:lineRule="auto"/>
        <w:ind w:left="4"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>روش نمره‌گذاری به این صورت است که به هر یک از گزینه‌ها، از گزینه‌ی همیشه تا گزینه‌ی هرگز به ترتیب نمره‌ی پنج، چهار، سه، دو و یک تعلق می‌گیرد. به این دلیل که هر سؤال دو قطب مقابل هم را ارزیابی می‌کند، بعضی سؤالات ارزش مثبت و بعضی دیگر ارزش منفی دارند. کمترین و بیشتری نمره برای عامل همکاری-تسلیم در مقابل خشم-مخالفت (85-) و (7+) و برای عامل تمایل-مشارکت در مقابل سردی-کناره‌گیری(33-) و ( 51+) می‌باشد. جدول 8-3 تعداد و شماره‌ی گویه‌های هریک از دو عامل مقیاس شایستگی اجتماعی را نشان می‌دهد.</w:t>
      </w:r>
    </w:p>
    <w:p w14:paraId="62992E89" w14:textId="77777777" w:rsidR="000F65C3" w:rsidRPr="000F65C3" w:rsidRDefault="000F65C3" w:rsidP="000F65C3">
      <w:pPr>
        <w:bidi/>
        <w:spacing w:after="0" w:line="240" w:lineRule="auto"/>
        <w:ind w:left="4"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</w:p>
    <w:p w14:paraId="299B1BCE" w14:textId="77777777" w:rsidR="000F65C3" w:rsidRPr="000F65C3" w:rsidRDefault="000F65C3" w:rsidP="000F65C3">
      <w:pPr>
        <w:bidi/>
        <w:spacing w:after="0" w:line="240" w:lineRule="auto"/>
        <w:ind w:left="360"/>
        <w:jc w:val="center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>تعداد و شماره‌ی گویه‌های هریک از دو عامل مقیاس شایستگی اجتماعی</w:t>
      </w:r>
    </w:p>
    <w:tbl>
      <w:tblPr>
        <w:tblStyle w:val="GridTable4-Accent3"/>
        <w:tblpPr w:leftFromText="180" w:rightFromText="180" w:vertAnchor="text" w:horzAnchor="margin" w:tblpXSpec="center" w:tblpY="221"/>
        <w:bidiVisual/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3143"/>
        <w:gridCol w:w="1508"/>
        <w:gridCol w:w="5233"/>
      </w:tblGrid>
      <w:tr w:rsidR="000F65C3" w:rsidRPr="000F65C3" w14:paraId="357B24B3" w14:textId="77777777" w:rsidTr="004C00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tcW w:w="31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3F58776" w14:textId="77777777" w:rsidR="000F65C3" w:rsidRPr="000F65C3" w:rsidRDefault="000F65C3" w:rsidP="00662C8F">
            <w:pPr>
              <w:bidi/>
              <w:spacing w:after="0" w:line="240" w:lineRule="auto"/>
              <w:jc w:val="center"/>
              <w:rPr>
                <w:rFonts w:ascii="Times" w:hAnsi="Times"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ascii="Times" w:hAnsi="Times" w:cs="B Nazanin" w:hint="cs"/>
                <w:color w:val="000000" w:themeColor="text1"/>
                <w:sz w:val="28"/>
                <w:szCs w:val="28"/>
                <w:rtl/>
              </w:rPr>
              <w:t>نام مؤلفه</w:t>
            </w:r>
          </w:p>
        </w:tc>
        <w:tc>
          <w:tcPr>
            <w:tcW w:w="1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5A8792" w14:textId="77777777" w:rsidR="000F65C3" w:rsidRPr="000F65C3" w:rsidRDefault="000F65C3" w:rsidP="00662C8F">
            <w:pPr>
              <w:bidi/>
              <w:spacing w:after="0" w:line="240" w:lineRule="auto"/>
              <w:jc w:val="center"/>
              <w:rPr>
                <w:rFonts w:ascii="Times" w:hAnsi="Times"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ascii="Times" w:hAnsi="Times" w:cs="B Nazanin" w:hint="cs"/>
                <w:color w:val="000000" w:themeColor="text1"/>
                <w:sz w:val="28"/>
                <w:szCs w:val="28"/>
                <w:rtl/>
              </w:rPr>
              <w:t>تعداد گویه‌ها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0FAD61" w14:textId="77777777" w:rsidR="000F65C3" w:rsidRPr="000F65C3" w:rsidRDefault="000F65C3" w:rsidP="00662C8F">
            <w:pPr>
              <w:bidi/>
              <w:spacing w:after="0" w:line="240" w:lineRule="auto"/>
              <w:jc w:val="center"/>
              <w:rPr>
                <w:rFonts w:ascii="Times" w:hAnsi="Times"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ascii="Times" w:hAnsi="Times" w:cs="B Nazanin" w:hint="cs"/>
                <w:color w:val="000000" w:themeColor="text1"/>
                <w:sz w:val="28"/>
                <w:szCs w:val="28"/>
                <w:rtl/>
              </w:rPr>
              <w:t>معرفی سؤالات مربوط به هر يك از خرده مقیاس‌ها</w:t>
            </w:r>
          </w:p>
        </w:tc>
      </w:tr>
      <w:tr w:rsidR="000F65C3" w:rsidRPr="000F65C3" w14:paraId="3795EBE6" w14:textId="77777777" w:rsidTr="004C0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tcW w:w="3143" w:type="dxa"/>
            <w:vAlign w:val="center"/>
          </w:tcPr>
          <w:p w14:paraId="503BC549" w14:textId="77777777" w:rsidR="000F65C3" w:rsidRPr="000F65C3" w:rsidRDefault="000F65C3" w:rsidP="004C00DF">
            <w:pPr>
              <w:bidi/>
              <w:spacing w:after="0" w:line="240" w:lineRule="auto"/>
              <w:jc w:val="center"/>
              <w:rPr>
                <w:rFonts w:ascii="Times" w:hAnsi="Times"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ascii="Times" w:hAnsi="Times" w:cs="B Nazanin" w:hint="cs"/>
                <w:color w:val="000000" w:themeColor="text1"/>
                <w:sz w:val="28"/>
                <w:szCs w:val="28"/>
                <w:rtl/>
              </w:rPr>
              <w:t xml:space="preserve">گزينه هاي تمايل </w:t>
            </w:r>
            <w:r w:rsidRPr="000F65C3">
              <w:rPr>
                <w:rFonts w:ascii="Arial" w:hAnsi="Arial" w:hint="cs"/>
                <w:color w:val="000000" w:themeColor="text1"/>
                <w:sz w:val="28"/>
                <w:szCs w:val="28"/>
                <w:rtl/>
              </w:rPr>
              <w:t>–</w:t>
            </w:r>
            <w:r w:rsidRPr="000F65C3">
              <w:rPr>
                <w:rFonts w:ascii="Times" w:hAnsi="Times" w:cs="B Nazanin" w:hint="cs"/>
                <w:color w:val="000000" w:themeColor="text1"/>
                <w:sz w:val="28"/>
                <w:szCs w:val="28"/>
                <w:rtl/>
              </w:rPr>
              <w:t xml:space="preserve"> مشاركت در مقابل سردی-کناره گيري</w:t>
            </w:r>
          </w:p>
        </w:tc>
        <w:tc>
          <w:tcPr>
            <w:tcW w:w="1508" w:type="dxa"/>
            <w:vAlign w:val="center"/>
            <w:hideMark/>
          </w:tcPr>
          <w:p w14:paraId="200C6EB1" w14:textId="77777777" w:rsidR="000F65C3" w:rsidRPr="000F65C3" w:rsidRDefault="000F65C3" w:rsidP="004C00DF">
            <w:pPr>
              <w:bidi/>
              <w:spacing w:after="0" w:line="240" w:lineRule="auto"/>
              <w:jc w:val="center"/>
              <w:rPr>
                <w:rFonts w:ascii="Times" w:hAnsi="Times"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ascii="Times" w:hAnsi="Times" w:cs="B Nazanin" w:hint="cs"/>
                <w:color w:val="000000" w:themeColor="text1"/>
                <w:sz w:val="28"/>
                <w:szCs w:val="28"/>
                <w:rtl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3" w:type="dxa"/>
            <w:hideMark/>
          </w:tcPr>
          <w:p w14:paraId="17FF48BB" w14:textId="77777777" w:rsidR="000F65C3" w:rsidRPr="000F65C3" w:rsidRDefault="000F65C3" w:rsidP="00662C8F">
            <w:pPr>
              <w:bidi/>
              <w:spacing w:after="0" w:line="240" w:lineRule="auto"/>
              <w:jc w:val="center"/>
              <w:rPr>
                <w:rFonts w:ascii="Times" w:hAnsi="Times" w:cs="B Nazanin"/>
                <w:color w:val="000000" w:themeColor="text1"/>
                <w:sz w:val="28"/>
                <w:szCs w:val="28"/>
              </w:rPr>
            </w:pPr>
            <w:r w:rsidRPr="000F65C3">
              <w:rPr>
                <w:rFonts w:ascii="Times" w:hAnsi="Times" w:cs="B Nazanin" w:hint="cs"/>
                <w:color w:val="000000" w:themeColor="text1"/>
                <w:sz w:val="28"/>
                <w:szCs w:val="28"/>
                <w:rtl/>
              </w:rPr>
              <w:t>11(+)، 31 (+)، 40 (-)، 6 (-)، 13 (-)، 20 (-)، 24 (-)، 27 (-)، 32 (-)، 35 (-)، 41 (-)،  44 (-)، 18 (+)، 38 (+)، 2 (-)، 8 (-)، 16 (-)، 22 (-)، 26 (-)، 29 (-)، 34 (-)، 39 (-)، 42 (-)</w:t>
            </w:r>
          </w:p>
        </w:tc>
      </w:tr>
      <w:tr w:rsidR="000F65C3" w:rsidRPr="000F65C3" w14:paraId="28F85C15" w14:textId="77777777" w:rsidTr="004C00DF">
        <w:trPr>
          <w:trHeight w:val="75"/>
        </w:trPr>
        <w:tc>
          <w:tcPr>
            <w:tcW w:w="3143" w:type="dxa"/>
            <w:vAlign w:val="center"/>
          </w:tcPr>
          <w:p w14:paraId="0D87B8B7" w14:textId="77777777" w:rsidR="000F65C3" w:rsidRPr="000F65C3" w:rsidRDefault="000F65C3" w:rsidP="004C00DF">
            <w:pPr>
              <w:bidi/>
              <w:spacing w:after="0" w:line="240" w:lineRule="auto"/>
              <w:jc w:val="center"/>
              <w:rPr>
                <w:rFonts w:ascii="Times" w:hAnsi="Times" w:cs="B Nazanin"/>
                <w:color w:val="000000" w:themeColor="text1"/>
                <w:sz w:val="28"/>
                <w:szCs w:val="28"/>
                <w:rtl/>
              </w:rPr>
            </w:pPr>
            <w:r w:rsidRPr="000F65C3">
              <w:rPr>
                <w:rFonts w:ascii="Times" w:hAnsi="Times" w:cs="B Nazanin" w:hint="cs"/>
                <w:color w:val="000000" w:themeColor="text1"/>
                <w:sz w:val="28"/>
                <w:szCs w:val="28"/>
                <w:rtl/>
              </w:rPr>
              <w:t xml:space="preserve">گزينه هاي همكاري-تسلیم در مقابل خشم </w:t>
            </w:r>
            <w:r w:rsidRPr="000F65C3">
              <w:rPr>
                <w:rFonts w:ascii="Arial" w:hAnsi="Arial" w:hint="cs"/>
                <w:color w:val="000000" w:themeColor="text1"/>
                <w:sz w:val="28"/>
                <w:szCs w:val="28"/>
                <w:rtl/>
              </w:rPr>
              <w:t>–</w:t>
            </w:r>
            <w:r w:rsidRPr="000F65C3">
              <w:rPr>
                <w:rFonts w:ascii="Times" w:hAnsi="Times" w:cs="B Nazanin" w:hint="cs"/>
                <w:color w:val="000000" w:themeColor="text1"/>
                <w:sz w:val="28"/>
                <w:szCs w:val="28"/>
                <w:rtl/>
              </w:rPr>
              <w:t xml:space="preserve"> مخالفت</w:t>
            </w:r>
          </w:p>
        </w:tc>
        <w:tc>
          <w:tcPr>
            <w:tcW w:w="1508" w:type="dxa"/>
            <w:vAlign w:val="center"/>
            <w:hideMark/>
          </w:tcPr>
          <w:p w14:paraId="2AC5F602" w14:textId="77777777" w:rsidR="000F65C3" w:rsidRPr="000F65C3" w:rsidRDefault="000F65C3" w:rsidP="004C00DF">
            <w:pPr>
              <w:bidi/>
              <w:spacing w:after="0" w:line="240" w:lineRule="auto"/>
              <w:jc w:val="center"/>
              <w:rPr>
                <w:rFonts w:ascii="Times" w:hAnsi="Times" w:cs="B Nazanin"/>
                <w:color w:val="000000" w:themeColor="text1"/>
                <w:sz w:val="28"/>
                <w:szCs w:val="28"/>
              </w:rPr>
            </w:pPr>
            <w:r w:rsidRPr="000F65C3">
              <w:rPr>
                <w:rFonts w:ascii="Times" w:hAnsi="Times" w:cs="B Nazanin" w:hint="cs"/>
                <w:color w:val="000000" w:themeColor="text1"/>
                <w:sz w:val="28"/>
                <w:szCs w:val="28"/>
                <w:rtl/>
              </w:rPr>
              <w:t>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33" w:type="dxa"/>
            <w:hideMark/>
          </w:tcPr>
          <w:p w14:paraId="077B870B" w14:textId="77777777" w:rsidR="000F65C3" w:rsidRPr="000F65C3" w:rsidRDefault="000F65C3" w:rsidP="00662C8F">
            <w:pPr>
              <w:bidi/>
              <w:spacing w:after="0" w:line="240" w:lineRule="auto"/>
              <w:jc w:val="center"/>
              <w:rPr>
                <w:rFonts w:ascii="Times" w:hAnsi="Times" w:cs="B Nazanin"/>
                <w:color w:val="000000" w:themeColor="text1"/>
                <w:sz w:val="28"/>
                <w:szCs w:val="28"/>
              </w:rPr>
            </w:pPr>
            <w:r w:rsidRPr="000F65C3">
              <w:rPr>
                <w:rFonts w:ascii="Times" w:hAnsi="Times" w:cs="B Nazanin" w:hint="cs"/>
                <w:color w:val="000000" w:themeColor="text1"/>
                <w:sz w:val="28"/>
                <w:szCs w:val="28"/>
                <w:rtl/>
              </w:rPr>
              <w:t>1(+) ، 5(+) ، 9(+) ، 15(+) ،23(+) ، 36(+)   4(-) ، 14(-) ،21(-) ، 28(-) ، 37(-) ،  3(+)   7(+) ، 12(+) ، 19(+) ، 33(+) ، 43(+) ،30(-)   25(-) ، 17(-) ، 10(-)</w:t>
            </w:r>
          </w:p>
        </w:tc>
      </w:tr>
    </w:tbl>
    <w:p w14:paraId="2395A752" w14:textId="77777777" w:rsidR="000F65C3" w:rsidRPr="000F65C3" w:rsidRDefault="000F65C3" w:rsidP="000F65C3">
      <w:pPr>
        <w:bidi/>
        <w:spacing w:after="0" w:line="240" w:lineRule="auto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16AEC5F6" w14:textId="77777777" w:rsidR="004C00DF" w:rsidRDefault="004C00DF" w:rsidP="000F65C3">
      <w:pPr>
        <w:pStyle w:val="Heading1"/>
        <w:numPr>
          <w:ilvl w:val="0"/>
          <w:numId w:val="0"/>
        </w:numPr>
        <w:bidi/>
        <w:spacing w:before="0" w:line="240" w:lineRule="auto"/>
        <w:ind w:left="432" w:hanging="432"/>
        <w:rPr>
          <w:rFonts w:cs="B Nazanin"/>
          <w:color w:val="000000" w:themeColor="text1"/>
          <w:rtl/>
          <w:lang w:bidi="fa-IR"/>
        </w:rPr>
      </w:pPr>
    </w:p>
    <w:p w14:paraId="3F40C710" w14:textId="7CB3BEE1" w:rsidR="000F65C3" w:rsidRDefault="000F65C3" w:rsidP="004C00DF">
      <w:pPr>
        <w:pStyle w:val="Heading1"/>
        <w:numPr>
          <w:ilvl w:val="0"/>
          <w:numId w:val="0"/>
        </w:numPr>
        <w:bidi/>
        <w:spacing w:before="0" w:line="240" w:lineRule="auto"/>
        <w:ind w:left="432" w:hanging="432"/>
        <w:rPr>
          <w:rFonts w:cs="B Nazanin"/>
          <w:color w:val="000000" w:themeColor="text1"/>
          <w:lang w:bidi="fa-IR"/>
        </w:rPr>
      </w:pPr>
      <w:r w:rsidRPr="000F65C3">
        <w:rPr>
          <w:rFonts w:cs="B Nazanin" w:hint="cs"/>
          <w:color w:val="000000" w:themeColor="text1"/>
          <w:rtl/>
          <w:lang w:bidi="fa-IR"/>
        </w:rPr>
        <w:t>شایستگی اجتماعی</w:t>
      </w:r>
    </w:p>
    <w:p w14:paraId="64DD4CB4" w14:textId="77777777" w:rsidR="009F0173" w:rsidRPr="009F0173" w:rsidRDefault="009F0173" w:rsidP="009F0173">
      <w:pPr>
        <w:bidi/>
        <w:spacing w:line="240" w:lineRule="auto"/>
        <w:rPr>
          <w:sz w:val="10"/>
          <w:szCs w:val="10"/>
          <w:rtl/>
          <w:lang w:bidi="fa-IR"/>
        </w:rPr>
      </w:pPr>
    </w:p>
    <w:p w14:paraId="33217539" w14:textId="4B5936D5" w:rsidR="000F65C3" w:rsidRDefault="000F65C3" w:rsidP="004C00DF">
      <w:pPr>
        <w:bidi/>
        <w:spacing w:after="0" w:line="360" w:lineRule="auto"/>
        <w:jc w:val="both"/>
        <w:rPr>
          <w:rFonts w:ascii="Arial" w:eastAsia="Times New Roman" w:hAnsi="Arial" w:cs="B Nazanin"/>
          <w:color w:val="000000" w:themeColor="text1"/>
          <w:sz w:val="28"/>
          <w:szCs w:val="28"/>
        </w:rPr>
      </w:pPr>
      <w:r w:rsidRPr="000F65C3">
        <w:rPr>
          <w:rFonts w:ascii="Arial" w:eastAsia="Times New Roman" w:hAnsi="Arial" w:cs="B Nazanin" w:hint="cs"/>
          <w:color w:val="000000" w:themeColor="text1"/>
          <w:sz w:val="28"/>
          <w:szCs w:val="28"/>
          <w:rtl/>
        </w:rPr>
        <w:t>شایستگی اجتماعی یک حوزه پیچیده و چندگانه از رشد است که شامل مهارت هایی مانند تنظیم هیجان‌های فردی، توانایی ارتباط برقرار کردن، ادراک مناسب دیگران، توانایی حل مسئله، حل تعارضات بین فردی و توسعه ارتباط مؤثر با همسالان می‌باشد (مانز و مکوین، 2004، به نقل از کوچمانسکی، 2010).</w:t>
      </w:r>
    </w:p>
    <w:p w14:paraId="259ADF54" w14:textId="49ED2A89" w:rsidR="000F65C3" w:rsidRDefault="000F65C3" w:rsidP="004C00DF">
      <w:pPr>
        <w:pStyle w:val="Heading1"/>
        <w:numPr>
          <w:ilvl w:val="0"/>
          <w:numId w:val="0"/>
        </w:numPr>
        <w:bidi/>
        <w:spacing w:before="0" w:line="240" w:lineRule="auto"/>
        <w:rPr>
          <w:rFonts w:cs="B Nazanin"/>
          <w:color w:val="000000" w:themeColor="text1"/>
          <w:lang w:bidi="fa-IR"/>
        </w:rPr>
      </w:pPr>
      <w:r w:rsidRPr="000F65C3">
        <w:rPr>
          <w:rFonts w:cs="B Nazanin" w:hint="cs"/>
          <w:color w:val="000000" w:themeColor="text1"/>
          <w:rtl/>
          <w:lang w:bidi="fa-IR"/>
        </w:rPr>
        <w:lastRenderedPageBreak/>
        <w:t>مقیاس شایستگی اجتماعی کوهن</w:t>
      </w:r>
    </w:p>
    <w:p w14:paraId="73B49899" w14:textId="77777777" w:rsidR="009F0173" w:rsidRPr="009F0173" w:rsidRDefault="009F0173" w:rsidP="009F0173">
      <w:pPr>
        <w:bidi/>
        <w:rPr>
          <w:sz w:val="2"/>
          <w:szCs w:val="2"/>
          <w:rtl/>
          <w:lang w:bidi="fa-IR"/>
        </w:rPr>
      </w:pPr>
    </w:p>
    <w:p w14:paraId="41766844" w14:textId="44E13938" w:rsidR="000F65C3" w:rsidRDefault="000F65C3" w:rsidP="004C00DF">
      <w:pPr>
        <w:bidi/>
        <w:spacing w:after="0" w:line="36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0F65C3">
        <w:rPr>
          <w:rFonts w:ascii="Palatino Linotype" w:hAnsi="Palatino Linotype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مقیاس شایستگی اجتماعی توسط کوهن و رسمن (1972) به دو صورت فرم 73 گزینه‌ای و 64 گزینه‌ای ساخته شد و توسط موراج (1975) برای کودکان دبستان هنجاریابی شده است و گزینه‌های آن به 44 سؤال تقلیل یافت. مقیاس شایستگی اجتماعی سطح کارکردهای هیجانی- اجتماعی کودک را ارزیابی می‌کند و دو عامل همکاری-تسلیم در مقابل خشم-مخالفت (برای مثال: دانش‌آموز به کار یا بازی اشتیاق نشان می‌دهد، دانش‌آموز در حضور دیگر دانش‌آموزان کناره گیری می‌کند) و تمایل-مشارکت در مقابل سردی-کناره‌گیری (برای مثال، دانش‌آموز نظرات سایر دانش‌آموزان را می‌پذیرد، دانش‌آموز بهانه‌گیر است) را ارزیابی می‌کند. </w:t>
      </w:r>
    </w:p>
    <w:p w14:paraId="0F5CEDDE" w14:textId="77777777" w:rsidR="009F0173" w:rsidRPr="009F0173" w:rsidRDefault="009F0173" w:rsidP="009F0173">
      <w:pPr>
        <w:bidi/>
        <w:spacing w:after="0" w:line="24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14:paraId="768ACEDE" w14:textId="7B1E0CED" w:rsidR="000F65C3" w:rsidRDefault="000F65C3" w:rsidP="000F65C3">
      <w:pPr>
        <w:pStyle w:val="Heading1"/>
        <w:numPr>
          <w:ilvl w:val="0"/>
          <w:numId w:val="0"/>
        </w:numPr>
        <w:bidi/>
        <w:spacing w:before="0" w:line="240" w:lineRule="auto"/>
        <w:ind w:left="432" w:hanging="432"/>
        <w:rPr>
          <w:rFonts w:ascii="Palatino Linotype" w:hAnsi="Palatino Linotype" w:cs="B Nazanin"/>
          <w:color w:val="000000" w:themeColor="text1"/>
          <w:lang w:bidi="fa-IR"/>
        </w:rPr>
      </w:pPr>
      <w:r w:rsidRPr="000F65C3">
        <w:rPr>
          <w:rFonts w:ascii="Palatino Linotype" w:hAnsi="Palatino Linotype" w:cs="B Nazanin"/>
          <w:color w:val="000000" w:themeColor="text1"/>
          <w:rtl/>
          <w:lang w:bidi="fa-IR"/>
        </w:rPr>
        <w:t>ویژگی های روانسنجی</w:t>
      </w:r>
    </w:p>
    <w:p w14:paraId="4AE2D18A" w14:textId="77777777" w:rsidR="009F0173" w:rsidRPr="009F0173" w:rsidRDefault="009F0173" w:rsidP="009F0173">
      <w:pPr>
        <w:bidi/>
        <w:rPr>
          <w:sz w:val="4"/>
          <w:szCs w:val="4"/>
          <w:rtl/>
          <w:lang w:bidi="fa-IR"/>
        </w:rPr>
      </w:pPr>
    </w:p>
    <w:p w14:paraId="462F1681" w14:textId="4696EBFA" w:rsidR="000F65C3" w:rsidRPr="000F65C3" w:rsidRDefault="000F65C3" w:rsidP="009F0173">
      <w:pPr>
        <w:bidi/>
        <w:spacing w:after="0" w:line="360" w:lineRule="auto"/>
        <w:jc w:val="both"/>
        <w:rPr>
          <w:rFonts w:ascii="Palatino Linotype" w:hAnsi="Palatino Linotype" w:cs="B Nazanin"/>
          <w:color w:val="000000" w:themeColor="text1"/>
          <w:sz w:val="28"/>
          <w:szCs w:val="28"/>
          <w:rtl/>
          <w:lang w:bidi="fa-IR"/>
        </w:rPr>
      </w:pPr>
      <w:r w:rsidRPr="000F65C3">
        <w:rPr>
          <w:rFonts w:ascii="Palatino Linotype" w:hAnsi="Palatino Linotype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کوهن (1972، به نقل از موراج، 1975) جهت تعیین روایی مقیاس از روش روایی ملاکی با استفاده از  </w:t>
      </w:r>
      <w:r w:rsidRPr="000F65C3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مقیاس کلاس درس اسچفر 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استفاده کرد.  </w:t>
      </w:r>
      <w:r w:rsidRPr="000F65C3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همبستگي بين  مقیاس کلاس درس اسچفر</w:t>
      </w:r>
      <w:r w:rsidRPr="000F65C3">
        <w:rPr>
          <w:rFonts w:ascii="Times New Roman" w:hAnsi="Times New Roman" w:cs="B Nazanin" w:hint="cs"/>
          <w:color w:val="000000" w:themeColor="text1"/>
          <w:sz w:val="28"/>
          <w:szCs w:val="28"/>
          <w:vertAlign w:val="superscript"/>
          <w:rtl/>
          <w:lang w:bidi="fa-IR"/>
        </w:rPr>
        <w:t xml:space="preserve"> </w:t>
      </w:r>
      <w:r w:rsidRPr="000F65C3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و خرده مقیاس 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همکاری-تسلیم در مقابل خشم-مخالفت </w:t>
      </w:r>
      <w:r w:rsidRPr="000F65C3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80/0و برای خرده مقیاس 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>تمایل-مشارکت در مقابل سردی-کناره‌گیری</w:t>
      </w:r>
      <w:r w:rsidRPr="000F65C3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83/0 به‌دست‌آمده است (موارج، 1975). همچنین، موراج 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(1975) روایی مقیاس مذکور را با استفاده از روش همزمان با ضرایب همبستگی 74/0 و 71/0 برای خرده مقیاس اول و 76/0 و 77/0 برای خرده مقیاس دوم </w:t>
      </w:r>
      <w:r w:rsidRPr="000F65C3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گزارش نمود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. کوهن (1972، به نقل از موراج، 1375) پایایی عامل تمايل </w:t>
      </w:r>
      <w:r w:rsidRPr="000F65C3">
        <w:rPr>
          <w:rFonts w:ascii="Arial" w:hAnsi="Arial" w:hint="cs"/>
          <w:color w:val="000000" w:themeColor="text1"/>
          <w:sz w:val="28"/>
          <w:szCs w:val="28"/>
          <w:rtl/>
          <w:lang w:bidi="fa-IR"/>
        </w:rPr>
        <w:t>–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مشاركت در مقابل سردی-کناره گيري را 93</w:t>
      </w:r>
      <w:r w:rsidRPr="000F65C3">
        <w:rPr>
          <w:rFonts w:ascii="Symbol" w:hAnsi="Symbol" w:cs="B Nazanin" w:hint="cs"/>
          <w:color w:val="000000" w:themeColor="text1"/>
          <w:sz w:val="28"/>
          <w:szCs w:val="28"/>
          <w:rtl/>
          <w:lang w:bidi="fa-IR"/>
        </w:rPr>
        <w:t>/0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و پایایی عامل  همكاري-تسلیم در مقابل خشم </w:t>
      </w:r>
      <w:r w:rsidRPr="000F65C3">
        <w:rPr>
          <w:rFonts w:ascii="Arial" w:hAnsi="Arial" w:hint="cs"/>
          <w:color w:val="000000" w:themeColor="text1"/>
          <w:sz w:val="28"/>
          <w:szCs w:val="28"/>
          <w:rtl/>
          <w:lang w:bidi="fa-IR"/>
        </w:rPr>
        <w:t>–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مخالفت را 95</w:t>
      </w:r>
      <w:r w:rsidRPr="000F65C3">
        <w:rPr>
          <w:rFonts w:ascii="Symbol" w:hAnsi="Symbol" w:cs="B Nazanin" w:hint="cs"/>
          <w:color w:val="000000" w:themeColor="text1"/>
          <w:sz w:val="28"/>
          <w:szCs w:val="28"/>
          <w:rtl/>
          <w:lang w:bidi="fa-IR"/>
        </w:rPr>
        <w:t>/0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گزارش کرده است. پایایی بین ارزیاب‌‌ها برای عامل همکاری-تسلیم در مقابل خشم-مخالفت 95/0  و  برای عامل تمایل مشارکت در مقابل سردی-کناره‌گیری 94</w:t>
      </w:r>
      <w:r w:rsidRPr="000F65C3">
        <w:rPr>
          <w:rFonts w:ascii="Symbol" w:hAnsi="Symbol" w:cs="B Nazanin" w:hint="cs"/>
          <w:color w:val="000000" w:themeColor="text1"/>
          <w:sz w:val="28"/>
          <w:szCs w:val="28"/>
          <w:rtl/>
          <w:lang w:bidi="fa-IR"/>
        </w:rPr>
        <w:t>/0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بود. </w:t>
      </w:r>
      <w:r w:rsidRPr="000F65C3">
        <w:rPr>
          <w:rFonts w:ascii="Palatino Linotype" w:hAnsi="Palatino Linotype" w:cs="B Nazanin" w:hint="cs"/>
          <w:color w:val="000000" w:themeColor="text1"/>
          <w:sz w:val="28"/>
          <w:szCs w:val="28"/>
          <w:rtl/>
          <w:lang w:bidi="fa-IR"/>
        </w:rPr>
        <w:t xml:space="preserve"> بهرامیان (1392) در پژوهش خود روایی این مقیاس را با استفاده از روش تحلیل عاملی، تایید کرد و پایایی این مقیاس را با استفاده از روش های آلفای کرونباخ،  تصنیف اسپیرمن- براون  و گاتمن مورد بررسی قرار داد و این نتایج را به دست آورد: 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>ضرایب پایایی به  روش آلفای کرونباخ  برای کل مقیاس شایستگی اجتماعی 80/0 و برای خرده مقیاس‌های همکاری-تسلیم در مقابل خشم-مخالفت و تمایل-مشارکت در مقابل سردی-</w:t>
      </w: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lastRenderedPageBreak/>
        <w:t>کناره‌گیری به ترتیب 79/0 و 85/0 به‌دست آمده است. همچنین، پایایی کل مقیاس شایستگی اجتماعی به  روش تنصیف (اسپیرمن-براون و گاتمن)  به ترتیب (84/0 و 85/0)، برای خرده مقیاس همکاری-تسلیم در مقابل خشم-مخالفت (85/0 و 85/0) و خرده مقیاس تمایل-مشارکت در مقابل سردی-کناره‌گیری (77/0 و 76/0) به دست آمده است.</w:t>
      </w:r>
    </w:p>
    <w:p w14:paraId="177F3672" w14:textId="77777777" w:rsidR="000F65C3" w:rsidRPr="004C00DF" w:rsidRDefault="000F65C3" w:rsidP="000F65C3">
      <w:pPr>
        <w:bidi/>
        <w:spacing w:after="0" w:line="240" w:lineRule="auto"/>
        <w:ind w:left="360"/>
        <w:jc w:val="both"/>
        <w:rPr>
          <w:rFonts w:cs="B Nazanin"/>
          <w:color w:val="000000" w:themeColor="text1"/>
          <w:sz w:val="18"/>
          <w:szCs w:val="18"/>
          <w:lang w:bidi="fa-IR"/>
        </w:rPr>
      </w:pPr>
      <w:r w:rsidRPr="000F65C3">
        <w:rPr>
          <w:rFonts w:ascii="Palatino Linotype" w:hAnsi="Palatino Linotype" w:cs="B Nazanin"/>
          <w:color w:val="000000" w:themeColor="text1"/>
          <w:sz w:val="28"/>
          <w:szCs w:val="28"/>
          <w:rtl/>
          <w:lang w:bidi="fa-IR"/>
        </w:rPr>
        <w:t xml:space="preserve"> </w:t>
      </w:r>
    </w:p>
    <w:p w14:paraId="06587641" w14:textId="77777777" w:rsidR="000F65C3" w:rsidRPr="000F65C3" w:rsidRDefault="000F65C3" w:rsidP="000F65C3">
      <w:pPr>
        <w:bidi/>
        <w:spacing w:after="0" w:line="240" w:lineRule="auto"/>
        <w:rPr>
          <w:rFonts w:ascii="Palatino Linotype" w:hAnsi="Palatino Linotype" w:cs="B Nazanin"/>
          <w:color w:val="000000" w:themeColor="text1"/>
          <w:sz w:val="28"/>
          <w:szCs w:val="28"/>
          <w:rtl/>
          <w:lang w:bidi="fa-IR"/>
        </w:rPr>
      </w:pPr>
    </w:p>
    <w:p w14:paraId="16A7C78F" w14:textId="729DE885" w:rsidR="009F0173" w:rsidRDefault="009F0173" w:rsidP="000F65C3">
      <w:pPr>
        <w:bidi/>
        <w:spacing w:after="0" w:line="240" w:lineRule="auto"/>
        <w:ind w:left="493" w:hanging="493"/>
        <w:jc w:val="both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9F017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منابع:</w:t>
      </w:r>
    </w:p>
    <w:p w14:paraId="2EEE2A15" w14:textId="77777777" w:rsidR="009F0173" w:rsidRPr="009F0173" w:rsidRDefault="009F0173" w:rsidP="009F0173">
      <w:pPr>
        <w:bidi/>
        <w:spacing w:after="0" w:line="240" w:lineRule="auto"/>
        <w:ind w:left="493" w:hanging="493"/>
        <w:jc w:val="both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</w:p>
    <w:p w14:paraId="1BB2757A" w14:textId="02912E3F" w:rsidR="000F65C3" w:rsidRPr="000F65C3" w:rsidRDefault="000F65C3" w:rsidP="004C00DF">
      <w:pPr>
        <w:bidi/>
        <w:spacing w:after="0" w:line="240" w:lineRule="auto"/>
        <w:jc w:val="both"/>
        <w:rPr>
          <w:rFonts w:asciiTheme="majorBidi" w:hAnsiTheme="majorBidi" w:cs="B Nazanin"/>
          <w:i/>
          <w:iCs/>
          <w:color w:val="000000" w:themeColor="text1"/>
          <w:sz w:val="28"/>
          <w:szCs w:val="28"/>
          <w:rtl/>
          <w:lang w:bidi="fa-IR"/>
        </w:rPr>
      </w:pPr>
      <w:r w:rsidRPr="000F65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بهرامیان (1392). مقایسه ی سازگاری اجتماعی، هوش هیجانی و شایستگی اجتماعی دانش آموزان با و بدون ناتوانی های یادگیری پایه ی دوم و سوم ابتدایی شهر اهواز. پایان نامه کارشناسی ارشد. دانشگاه شهید چمران اهواز.</w:t>
      </w:r>
    </w:p>
    <w:p w14:paraId="04FEF041" w14:textId="4353A416" w:rsidR="004C00DF" w:rsidRDefault="004C00DF">
      <w:pPr>
        <w:rPr>
          <w:rFonts w:ascii="B Nazanin B Nazanin" w:hAnsi="B Nazanin B Nazanin" w:cs="B Nazanin"/>
          <w:i/>
          <w:iCs/>
          <w:color w:val="000000" w:themeColor="text1"/>
          <w:sz w:val="28"/>
          <w:szCs w:val="28"/>
          <w:rtl/>
          <w:lang w:bidi="fa-IR"/>
        </w:rPr>
      </w:pPr>
    </w:p>
    <w:p w14:paraId="755DC9DF" w14:textId="77777777" w:rsidR="004C00DF" w:rsidRPr="004C00DF" w:rsidRDefault="004C00DF" w:rsidP="004C00DF">
      <w:pPr>
        <w:rPr>
          <w:rFonts w:cs="B Nazanin"/>
          <w:sz w:val="28"/>
          <w:szCs w:val="28"/>
        </w:rPr>
      </w:pPr>
      <w:r w:rsidRPr="004C00DF">
        <w:rPr>
          <w:rFonts w:cs="B Nazanin"/>
          <w:sz w:val="28"/>
          <w:szCs w:val="28"/>
        </w:rPr>
        <w:t xml:space="preserve">Kohen, M., &amp; Rosman, B. L. (1972 (. A social competence scale and </w:t>
      </w:r>
      <w:proofErr w:type="gramStart"/>
      <w:r w:rsidRPr="004C00DF">
        <w:rPr>
          <w:rFonts w:cs="B Nazanin"/>
          <w:sz w:val="28"/>
          <w:szCs w:val="28"/>
        </w:rPr>
        <w:t xml:space="preserve">symptom  </w:t>
      </w:r>
      <w:proofErr w:type="spellStart"/>
      <w:r w:rsidRPr="004C00DF">
        <w:rPr>
          <w:rFonts w:cs="B Nazanin"/>
          <w:sz w:val="28"/>
          <w:szCs w:val="28"/>
        </w:rPr>
        <w:t>checlist</w:t>
      </w:r>
      <w:proofErr w:type="spellEnd"/>
      <w:proofErr w:type="gramEnd"/>
      <w:r w:rsidRPr="004C00DF">
        <w:rPr>
          <w:rFonts w:cs="B Nazanin"/>
          <w:sz w:val="28"/>
          <w:szCs w:val="28"/>
        </w:rPr>
        <w:t xml:space="preserve"> for preschool child: factor dimension their cross-instrument generality, and longitudinal persistence. Journal of Developmental </w:t>
      </w:r>
      <w:proofErr w:type="spellStart"/>
      <w:r w:rsidRPr="004C00DF">
        <w:rPr>
          <w:rFonts w:cs="B Nazanin"/>
          <w:sz w:val="28"/>
          <w:szCs w:val="28"/>
        </w:rPr>
        <w:t>Psycology</w:t>
      </w:r>
      <w:proofErr w:type="spellEnd"/>
      <w:r w:rsidRPr="004C00DF">
        <w:rPr>
          <w:rFonts w:cs="B Nazanin"/>
          <w:sz w:val="28"/>
          <w:szCs w:val="28"/>
        </w:rPr>
        <w:t>, 6, 430-444.</w:t>
      </w:r>
    </w:p>
    <w:p w14:paraId="2A165996" w14:textId="77777777" w:rsidR="004C00DF" w:rsidRPr="004C00DF" w:rsidRDefault="004C00DF" w:rsidP="004C00DF">
      <w:pPr>
        <w:rPr>
          <w:rFonts w:cs="B Nazanin"/>
          <w:sz w:val="28"/>
          <w:szCs w:val="28"/>
        </w:rPr>
      </w:pPr>
      <w:proofErr w:type="spellStart"/>
      <w:r w:rsidRPr="004C00DF">
        <w:rPr>
          <w:rFonts w:cs="B Nazanin"/>
          <w:sz w:val="28"/>
          <w:szCs w:val="28"/>
        </w:rPr>
        <w:t>Kochmanski</w:t>
      </w:r>
      <w:proofErr w:type="spellEnd"/>
      <w:r w:rsidRPr="004C00DF">
        <w:rPr>
          <w:rFonts w:cs="B Nazanin"/>
          <w:sz w:val="28"/>
          <w:szCs w:val="28"/>
        </w:rPr>
        <w:t>, A. J. (2010). Learning disabilities and communication deficits: Compensating for social incompetence. Journal of LD and Social Competence, 5, 1-15.</w:t>
      </w:r>
    </w:p>
    <w:p w14:paraId="7ACABBDA" w14:textId="28EA258C" w:rsidR="004C00DF" w:rsidRPr="000F65C3" w:rsidRDefault="004C00DF" w:rsidP="004C00DF">
      <w:pPr>
        <w:rPr>
          <w:rFonts w:cs="B Nazanin"/>
          <w:sz w:val="28"/>
          <w:szCs w:val="28"/>
        </w:rPr>
      </w:pPr>
      <w:r w:rsidRPr="004C00DF">
        <w:rPr>
          <w:rFonts w:cs="B Nazanin"/>
          <w:sz w:val="28"/>
          <w:szCs w:val="28"/>
        </w:rPr>
        <w:t xml:space="preserve">Morag, E. G. (1975). validity of Kohn Social Competence Scale for USE with Elementary School Children. A thesis submitted </w:t>
      </w:r>
      <w:proofErr w:type="spellStart"/>
      <w:r w:rsidRPr="004C00DF">
        <w:rPr>
          <w:rFonts w:cs="B Nazanin"/>
          <w:sz w:val="28"/>
          <w:szCs w:val="28"/>
        </w:rPr>
        <w:t>inpartial</w:t>
      </w:r>
      <w:proofErr w:type="spellEnd"/>
      <w:r w:rsidRPr="004C00DF">
        <w:rPr>
          <w:rFonts w:cs="B Nazanin"/>
          <w:sz w:val="28"/>
          <w:szCs w:val="28"/>
        </w:rPr>
        <w:t xml:space="preserve"> fulfillment of </w:t>
      </w:r>
      <w:proofErr w:type="spellStart"/>
      <w:r w:rsidRPr="004C00DF">
        <w:rPr>
          <w:rFonts w:cs="B Nazanin"/>
          <w:sz w:val="28"/>
          <w:szCs w:val="28"/>
        </w:rPr>
        <w:t>of</w:t>
      </w:r>
      <w:proofErr w:type="spellEnd"/>
      <w:r w:rsidRPr="004C00DF">
        <w:rPr>
          <w:rFonts w:cs="B Nazanin"/>
          <w:sz w:val="28"/>
          <w:szCs w:val="28"/>
        </w:rPr>
        <w:t xml:space="preserve"> the requirements for the degree of master of education. University of British Colombia.  </w:t>
      </w:r>
    </w:p>
    <w:sectPr w:rsidR="004C00DF" w:rsidRPr="000F65C3" w:rsidSect="000F65C3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C47E3" w14:textId="77777777" w:rsidR="00E22B16" w:rsidRDefault="00E22B16" w:rsidP="000F65C3">
      <w:pPr>
        <w:spacing w:after="0" w:line="240" w:lineRule="auto"/>
      </w:pPr>
      <w:r>
        <w:separator/>
      </w:r>
    </w:p>
  </w:endnote>
  <w:endnote w:type="continuationSeparator" w:id="0">
    <w:p w14:paraId="39E5CE5E" w14:textId="77777777" w:rsidR="00E22B16" w:rsidRDefault="00E22B16" w:rsidP="000F6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806CF" w14:textId="77777777" w:rsidR="00E22B16" w:rsidRDefault="00E22B16" w:rsidP="000F65C3">
      <w:pPr>
        <w:spacing w:after="0" w:line="240" w:lineRule="auto"/>
      </w:pPr>
      <w:r>
        <w:separator/>
      </w:r>
    </w:p>
  </w:footnote>
  <w:footnote w:type="continuationSeparator" w:id="0">
    <w:p w14:paraId="5927E1D7" w14:textId="77777777" w:rsidR="00E22B16" w:rsidRDefault="00E22B16" w:rsidP="000F6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47A0C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AE"/>
    <w:rsid w:val="000750A4"/>
    <w:rsid w:val="000F65C3"/>
    <w:rsid w:val="00287990"/>
    <w:rsid w:val="00447B4E"/>
    <w:rsid w:val="004C00DF"/>
    <w:rsid w:val="009F0173"/>
    <w:rsid w:val="00C441AE"/>
    <w:rsid w:val="00E2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DD401"/>
  <w15:chartTrackingRefBased/>
  <w15:docId w15:val="{163BC504-D6B8-47AF-B1E0-4E3265B0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5C3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5C3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5C3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5C3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5C3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5C3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5C3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5C3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5C3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5C3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6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5C3"/>
    <w:rPr>
      <w:rFonts w:ascii="Calibri" w:eastAsia="Calibri" w:hAnsi="Calibri" w:cs="Arial"/>
    </w:rPr>
  </w:style>
  <w:style w:type="paragraph" w:styleId="NoSpacing">
    <w:name w:val="No Spacing"/>
    <w:link w:val="NoSpacingChar"/>
    <w:uiPriority w:val="1"/>
    <w:qFormat/>
    <w:rsid w:val="000F65C3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0F65C3"/>
    <w:rPr>
      <w:rFonts w:ascii="Calibri" w:eastAsia="Times New Roman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0F65C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6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F65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5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5C3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5C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5C3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5C3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5C3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5C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5C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65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65C3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0F65C3"/>
    <w:rPr>
      <w:vertAlign w:val="superscript"/>
    </w:rPr>
  </w:style>
  <w:style w:type="table" w:styleId="GridTable4-Accent3">
    <w:name w:val="Grid Table 4 Accent 3"/>
    <w:basedOn w:val="TableNormal"/>
    <w:uiPriority w:val="49"/>
    <w:rsid w:val="000F65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4</cp:revision>
  <dcterms:created xsi:type="dcterms:W3CDTF">2022-08-01T10:34:00Z</dcterms:created>
  <dcterms:modified xsi:type="dcterms:W3CDTF">2022-08-01T11:42:00Z</dcterms:modified>
</cp:coreProperties>
</file>